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7F110A2" w14:textId="30840CE2" w:rsidR="00FC3039" w:rsidRPr="00E46592" w:rsidRDefault="00094364" w:rsidP="00FC3039">
      <w:pPr>
        <w:rPr>
          <w:rFonts w:cs="Calibri"/>
          <w:b/>
          <w:sz w:val="24"/>
          <w:szCs w:val="24"/>
          <w:u w:val="single"/>
        </w:rPr>
      </w:pPr>
      <w:r>
        <w:rPr>
          <w:rFonts w:cs="Calibri"/>
          <w:noProof/>
          <w:sz w:val="24"/>
          <w:szCs w:val="24"/>
          <w:lang w:eastAsia="en-IE"/>
        </w:rPr>
        <mc:AlternateContent>
          <mc:Choice Requires="wps">
            <w:drawing>
              <wp:anchor distT="0" distB="0" distL="114300" distR="114300" simplePos="0" relativeHeight="251665408" behindDoc="0" locked="0" layoutInCell="1" allowOverlap="1" wp14:anchorId="2CB9522A" wp14:editId="5C91D10D">
                <wp:simplePos x="0" y="0"/>
                <wp:positionH relativeFrom="column">
                  <wp:posOffset>4664710</wp:posOffset>
                </wp:positionH>
                <wp:positionV relativeFrom="paragraph">
                  <wp:posOffset>-723900</wp:posOffset>
                </wp:positionV>
                <wp:extent cx="1802765" cy="781050"/>
                <wp:effectExtent l="6985" t="9525" r="9525" b="9525"/>
                <wp:wrapNone/>
                <wp:docPr id="2"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2765" cy="781050"/>
                        </a:xfrm>
                        <a:prstGeom prst="rect">
                          <a:avLst/>
                        </a:prstGeom>
                        <a:solidFill>
                          <a:srgbClr val="FFFFFF"/>
                        </a:solidFill>
                        <a:ln w="9525">
                          <a:solidFill>
                            <a:srgbClr val="FFFFFF"/>
                          </a:solidFill>
                          <a:miter lim="800000"/>
                          <a:headEnd/>
                          <a:tailEnd/>
                        </a:ln>
                      </wps:spPr>
                      <wps:txbx>
                        <w:txbxContent>
                          <w:p w14:paraId="610DB79D" w14:textId="77777777" w:rsidR="00FC3039" w:rsidRDefault="00FC3039" w:rsidP="00FC3039">
                            <w:r>
                              <w:rPr>
                                <w:noProof/>
                                <w:lang w:eastAsia="en-IE"/>
                              </w:rPr>
                              <w:drawing>
                                <wp:inline distT="0" distB="0" distL="0" distR="0" wp14:anchorId="505A3624" wp14:editId="2FDBDDAB">
                                  <wp:extent cx="1562100" cy="628650"/>
                                  <wp:effectExtent l="19050" t="0" r="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
                                          <a:srcRect/>
                                          <a:stretch>
                                            <a:fillRect/>
                                          </a:stretch>
                                        </pic:blipFill>
                                        <pic:spPr bwMode="auto">
                                          <a:xfrm>
                                            <a:off x="0" y="0"/>
                                            <a:ext cx="1562100" cy="628650"/>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style="position:absolute;margin-left:367.3pt;margin-top:-57pt;width:141.95pt;height: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HrYFJQIAAFAEAAAOAAAAZHJzL2Uyb0RvYy54bWysVFFv2yAQfp+0/4B4X+xYSZNacaouXaZJ&#10;XTep3Q/AGNtowDEgsbtfvwOnWdS9VfMD4jj47u777ry5GbUiR+G8BFPR+SynRBgOjTRdRX887T+s&#10;KfGBmYYpMKKiz8LTm+37d5vBlqKAHlQjHEEQ48vBVrQPwZZZ5nkvNPMzsMKgswWnWUDTdVnj2IDo&#10;WmVFnl9lA7jGOuDCezy9m5x0m/DbVvDwrW29CERVFHMLaXVpreOabTes7ByzveSnNNgbstBMGgx6&#10;hrpjgZGDk/9AackdeGjDjIPOoG0lF6kGrGaev6rmsWdWpFqQHG/PNPn/B8sfjt8dkU1FC0oM0yjR&#10;kxgD+QgjWUd2ButLvPRo8VoY8RhVTpV6ew/8pycGdj0znbh1DoZesAazm8eX2cXTCcdHkHr4Cg2G&#10;YYcACWhsnY7UIRkE0VGl57MyMRUeQ67zYnW1pISjb7We58skXcbKl9fW+fBZgCZxU1GHyid0drz3&#10;IWbDypcrMZgHJZu9VCoZrqt3ypEjwy7Zpy8V8OqaMmSo6PWyWE4EvAFCy4DtrqSu6DqP39SAkbZP&#10;pknNGJhU0x5TVubEY6RuIjGM9XjSpYbmGRl1MLU1jiFuenC/KRmwpSvqfx2YE5SoLwZVuZ4vFnEG&#10;krFYrgo03KWnvvQwwxGqooGSabsL09wcrJNdj5GmPjBwi0q2MpEcJZ+yOuWNbZu4P41YnItLO936&#10;+yPY/gEAAP//AwBQSwMEFAAGAAgAAAAhAGuqLnzgAAAACwEAAA8AAABkcnMvZG93bnJldi54bWxM&#10;j0FPwkAQhe8m/ofNmHgxsNuKgLVTQojGM+iF29IObWN3tu0utPjrXU54nMyX976XrkbTiDP1rraM&#10;EE0VCOLcFjWXCN9fH5MlCOc1F7qxTAgXcrDK7u9SnRR24C2dd74UIYRdohEq79tESpdXZLSb2pY4&#10;/I62N9qHsy9l0eshhJtGxkrNpdE1h4ZKt7SpKP/ZnQyCHd4vxlKn4qf9r/ncrLvtMe4QHx/G9RsI&#10;T6O/wXDVD+qQBaeDPXHhRIOweJ7NA4owiaJZWHVFVLR8AXFAeFUgs1T+35D9AQAA//8DAFBLAQIt&#10;ABQABgAIAAAAIQC2gziS/gAAAOEBAAATAAAAAAAAAAAAAAAAAAAAAABbQ29udGVudF9UeXBlc10u&#10;eG1sUEsBAi0AFAAGAAgAAAAhADj9If/WAAAAlAEAAAsAAAAAAAAAAAAAAAAALwEAAF9yZWxzLy5y&#10;ZWxzUEsBAi0AFAAGAAgAAAAhAMketgUlAgAAUAQAAA4AAAAAAAAAAAAAAAAALgIAAGRycy9lMm9E&#10;b2MueG1sUEsBAi0AFAAGAAgAAAAhAGuqLnzgAAAACwEAAA8AAAAAAAAAAAAAAAAAfwQAAGRycy9k&#10;b3ducmV2LnhtbFBLBQYAAAAABAAEAPMAAACMBQAAAAA=&#10;" strokecolor="white">
                <v:textbox>
                  <w:txbxContent>
                    <w:p w:rsidR="00FC3039" w:rsidRDefault="00FC3039" w:rsidP="00FC3039">
                      <w:r>
                        <w:rPr>
                          <w:noProof/>
                          <w:lang w:eastAsia="en-IE"/>
                        </w:rPr>
                        <w:drawing>
                          <wp:inline distT="0" distB="0" distL="0" distR="0">
                            <wp:extent cx="1562100" cy="628650"/>
                            <wp:effectExtent l="19050" t="0" r="0" b="0"/>
                            <wp:docPr id="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srcRect/>
                                    <a:stretch>
                                      <a:fillRect/>
                                    </a:stretch>
                                  </pic:blipFill>
                                  <pic:spPr bwMode="auto">
                                    <a:xfrm>
                                      <a:off x="0" y="0"/>
                                      <a:ext cx="1562100" cy="628650"/>
                                    </a:xfrm>
                                    <a:prstGeom prst="rect">
                                      <a:avLst/>
                                    </a:prstGeom>
                                    <a:noFill/>
                                    <a:ln w="9525">
                                      <a:noFill/>
                                      <a:miter lim="800000"/>
                                      <a:headEnd/>
                                      <a:tailEnd/>
                                    </a:ln>
                                  </pic:spPr>
                                </pic:pic>
                              </a:graphicData>
                            </a:graphic>
                          </wp:inline>
                        </w:drawing>
                      </w:r>
                    </w:p>
                  </w:txbxContent>
                </v:textbox>
              </v:shape>
            </w:pict>
          </mc:Fallback>
        </mc:AlternateContent>
      </w:r>
      <w:r w:rsidR="00FC3039" w:rsidRPr="00E46592">
        <w:rPr>
          <w:rFonts w:eastAsia="Times New Roman" w:cs="Calibri"/>
          <w:b/>
          <w:color w:val="000000"/>
          <w:sz w:val="24"/>
          <w:szCs w:val="24"/>
        </w:rPr>
        <w:t xml:space="preserve">Workshop </w:t>
      </w:r>
      <w:r w:rsidR="000D5F46">
        <w:rPr>
          <w:rFonts w:eastAsia="Times New Roman" w:cs="Calibri"/>
          <w:b/>
          <w:color w:val="000000"/>
          <w:sz w:val="24"/>
          <w:szCs w:val="24"/>
        </w:rPr>
        <w:t>2</w:t>
      </w:r>
      <w:r w:rsidR="00FC3039" w:rsidRPr="00E46592">
        <w:rPr>
          <w:rFonts w:eastAsia="Times New Roman" w:cs="Calibri"/>
          <w:b/>
          <w:color w:val="000000"/>
          <w:sz w:val="24"/>
          <w:szCs w:val="24"/>
        </w:rPr>
        <w:t>:</w:t>
      </w:r>
      <w:r w:rsidR="00FC3039">
        <w:rPr>
          <w:rFonts w:eastAsia="Times New Roman" w:cs="Calibri"/>
          <w:b/>
          <w:color w:val="000000"/>
          <w:sz w:val="24"/>
          <w:szCs w:val="24"/>
        </w:rPr>
        <w:t xml:space="preserve"> </w:t>
      </w:r>
      <w:r w:rsidR="00FC3039" w:rsidRPr="00E46592">
        <w:rPr>
          <w:rFonts w:cs="Calibri"/>
          <w:b/>
          <w:sz w:val="24"/>
          <w:szCs w:val="24"/>
          <w:u w:val="single"/>
        </w:rPr>
        <w:t>Individual differences and needs - Scenarios you might encounter in mathematics support</w:t>
      </w:r>
    </w:p>
    <w:p w14:paraId="6617E8AC" w14:textId="77777777" w:rsidR="00FC3039" w:rsidRPr="00FC3039" w:rsidRDefault="00FC3039" w:rsidP="00FC3039">
      <w:pPr>
        <w:rPr>
          <w:rFonts w:eastAsia="Times New Roman" w:cs="Calibri"/>
          <w:color w:val="000000"/>
          <w:sz w:val="24"/>
          <w:szCs w:val="24"/>
        </w:rPr>
      </w:pPr>
      <w:r w:rsidRPr="00E46592">
        <w:rPr>
          <w:rFonts w:eastAsia="Times New Roman" w:cs="Calibri"/>
          <w:b/>
          <w:color w:val="000000"/>
          <w:sz w:val="24"/>
          <w:szCs w:val="24"/>
        </w:rPr>
        <w:t>Aim of session:</w:t>
      </w:r>
      <w:r>
        <w:rPr>
          <w:rFonts w:eastAsia="Times New Roman" w:cs="Calibri"/>
          <w:b/>
          <w:color w:val="000000"/>
          <w:sz w:val="24"/>
          <w:szCs w:val="24"/>
        </w:rPr>
        <w:t xml:space="preserve"> </w:t>
      </w:r>
      <w:r w:rsidRPr="00FC3039">
        <w:rPr>
          <w:rFonts w:eastAsia="Times New Roman" w:cs="Calibri"/>
          <w:color w:val="000000"/>
          <w:sz w:val="24"/>
          <w:szCs w:val="24"/>
        </w:rPr>
        <w:t xml:space="preserve">Enhance tutors’ awareness of both the implications of the non-academic differences between students and the range of situations that can occur </w:t>
      </w:r>
      <w:proofErr w:type="gramStart"/>
      <w:r w:rsidRPr="00FC3039">
        <w:rPr>
          <w:rFonts w:eastAsia="Times New Roman" w:cs="Calibri"/>
          <w:color w:val="000000"/>
          <w:sz w:val="24"/>
          <w:szCs w:val="24"/>
        </w:rPr>
        <w:t>as a result of</w:t>
      </w:r>
      <w:proofErr w:type="gramEnd"/>
      <w:r w:rsidRPr="00FC3039">
        <w:rPr>
          <w:rFonts w:eastAsia="Times New Roman" w:cs="Calibri"/>
          <w:color w:val="000000"/>
          <w:sz w:val="24"/>
          <w:szCs w:val="24"/>
        </w:rPr>
        <w:t xml:space="preserve"> diverse student approaches to learning. </w:t>
      </w:r>
    </w:p>
    <w:p w14:paraId="3E45F5D0" w14:textId="77777777" w:rsidR="00FC3039" w:rsidRPr="00E46592" w:rsidRDefault="00326B27" w:rsidP="00FC3039">
      <w:pPr>
        <w:rPr>
          <w:rFonts w:eastAsia="Times New Roman" w:cs="Calibri"/>
          <w:b/>
          <w:color w:val="000000"/>
          <w:sz w:val="24"/>
          <w:szCs w:val="24"/>
        </w:rPr>
      </w:pPr>
      <w:r>
        <w:rPr>
          <w:rFonts w:eastAsia="Times New Roman" w:cs="Calibri"/>
          <w:b/>
          <w:color w:val="000000"/>
          <w:sz w:val="24"/>
          <w:szCs w:val="24"/>
        </w:rPr>
        <w:t>Learning Outcomes for session.</w:t>
      </w:r>
      <w:r w:rsidRPr="00326B27">
        <w:rPr>
          <w:rFonts w:eastAsia="Times New Roman" w:cstheme="minorHAnsi"/>
          <w:i/>
          <w:color w:val="000000"/>
          <w:sz w:val="24"/>
          <w:szCs w:val="24"/>
        </w:rPr>
        <w:t xml:space="preserve"> </w:t>
      </w:r>
      <w:r>
        <w:rPr>
          <w:rFonts w:eastAsia="Times New Roman" w:cstheme="minorHAnsi"/>
          <w:i/>
          <w:color w:val="000000"/>
          <w:sz w:val="24"/>
          <w:szCs w:val="24"/>
        </w:rPr>
        <w:t xml:space="preserve"> </w:t>
      </w:r>
      <w:r w:rsidRPr="009068B9">
        <w:rPr>
          <w:rFonts w:eastAsia="Times New Roman" w:cstheme="minorHAnsi"/>
          <w:i/>
          <w:color w:val="000000"/>
          <w:sz w:val="24"/>
          <w:szCs w:val="24"/>
        </w:rPr>
        <w:t>At the end of this workshop the tutor will be able to</w:t>
      </w:r>
      <w:r>
        <w:rPr>
          <w:rFonts w:eastAsia="Times New Roman" w:cstheme="minorHAnsi"/>
          <w:color w:val="000000"/>
          <w:sz w:val="24"/>
          <w:szCs w:val="24"/>
        </w:rPr>
        <w:t>:</w:t>
      </w:r>
    </w:p>
    <w:p w14:paraId="1CF3F28C" w14:textId="77777777" w:rsidR="00FC3039" w:rsidRDefault="008F5C7D" w:rsidP="00FC3039">
      <w:pPr>
        <w:tabs>
          <w:tab w:val="left" w:pos="284"/>
        </w:tabs>
        <w:ind w:left="284" w:hanging="284"/>
        <w:rPr>
          <w:rFonts w:eastAsia="Times New Roman" w:cs="Calibri"/>
          <w:color w:val="000000"/>
          <w:sz w:val="24"/>
          <w:szCs w:val="24"/>
        </w:rPr>
      </w:pPr>
      <w:r>
        <w:rPr>
          <w:rFonts w:eastAsia="Times New Roman" w:cs="Calibri"/>
          <w:color w:val="000000"/>
          <w:sz w:val="24"/>
          <w:szCs w:val="24"/>
        </w:rPr>
        <w:t xml:space="preserve">1   </w:t>
      </w:r>
      <w:r w:rsidR="00FC3039">
        <w:rPr>
          <w:rFonts w:eastAsia="Times New Roman" w:cs="Calibri"/>
          <w:color w:val="000000"/>
          <w:sz w:val="24"/>
          <w:szCs w:val="24"/>
        </w:rPr>
        <w:t xml:space="preserve">recognise the importance of individual (non-academic) differences and needs amongst students, to understand how these can impact on your engagement with the student and to be aware of and comfortable with appropriate interaction with the students in these situations. </w:t>
      </w:r>
    </w:p>
    <w:p w14:paraId="55ACB15C" w14:textId="77777777" w:rsidR="00FC3039" w:rsidRDefault="00FC3039" w:rsidP="00FC3039">
      <w:pPr>
        <w:tabs>
          <w:tab w:val="left" w:pos="284"/>
        </w:tabs>
        <w:ind w:left="284" w:hanging="284"/>
        <w:rPr>
          <w:rFonts w:eastAsia="Times New Roman" w:cs="Calibri"/>
          <w:color w:val="000000"/>
          <w:sz w:val="24"/>
          <w:szCs w:val="24"/>
        </w:rPr>
      </w:pPr>
      <w:r w:rsidRPr="00E46592">
        <w:rPr>
          <w:rFonts w:eastAsia="Times New Roman" w:cs="Calibri"/>
          <w:color w:val="000000"/>
          <w:sz w:val="24"/>
          <w:szCs w:val="24"/>
        </w:rPr>
        <w:t>2</w:t>
      </w:r>
      <w:r w:rsidRPr="00E46592">
        <w:rPr>
          <w:rFonts w:eastAsia="Times New Roman" w:cs="Calibri"/>
          <w:color w:val="000000"/>
          <w:sz w:val="24"/>
          <w:szCs w:val="24"/>
        </w:rPr>
        <w:tab/>
      </w:r>
      <w:r>
        <w:rPr>
          <w:rFonts w:eastAsia="Times New Roman" w:cs="Calibri"/>
          <w:color w:val="000000"/>
          <w:sz w:val="24"/>
          <w:szCs w:val="24"/>
        </w:rPr>
        <w:t xml:space="preserve">be aware of the </w:t>
      </w:r>
      <w:r w:rsidRPr="00BA0728">
        <w:rPr>
          <w:rFonts w:eastAsia="Times New Roman" w:cs="Calibri"/>
          <w:color w:val="000000"/>
          <w:sz w:val="24"/>
          <w:szCs w:val="24"/>
        </w:rPr>
        <w:t xml:space="preserve">range of </w:t>
      </w:r>
      <w:r>
        <w:rPr>
          <w:rFonts w:eastAsia="Times New Roman" w:cs="Calibri"/>
          <w:color w:val="000000"/>
          <w:sz w:val="24"/>
          <w:szCs w:val="24"/>
        </w:rPr>
        <w:t xml:space="preserve">motivational factors and </w:t>
      </w:r>
      <w:r w:rsidRPr="00BA0728">
        <w:rPr>
          <w:rFonts w:eastAsia="Times New Roman" w:cs="Calibri"/>
          <w:color w:val="000000"/>
          <w:sz w:val="24"/>
          <w:szCs w:val="24"/>
        </w:rPr>
        <w:t xml:space="preserve">approaches to learning </w:t>
      </w:r>
      <w:r>
        <w:rPr>
          <w:rFonts w:eastAsia="Times New Roman" w:cs="Calibri"/>
          <w:color w:val="000000"/>
          <w:sz w:val="24"/>
          <w:szCs w:val="24"/>
        </w:rPr>
        <w:t xml:space="preserve">which are </w:t>
      </w:r>
      <w:r w:rsidRPr="00BA0728">
        <w:rPr>
          <w:rFonts w:eastAsia="Times New Roman" w:cs="Calibri"/>
          <w:color w:val="000000"/>
          <w:sz w:val="24"/>
          <w:szCs w:val="24"/>
        </w:rPr>
        <w:t>adopted by</w:t>
      </w:r>
      <w:r>
        <w:rPr>
          <w:rFonts w:eastAsia="Times New Roman" w:cs="Calibri"/>
          <w:color w:val="000000"/>
          <w:sz w:val="24"/>
          <w:szCs w:val="24"/>
        </w:rPr>
        <w:t xml:space="preserve"> </w:t>
      </w:r>
      <w:r w:rsidRPr="00BA0728">
        <w:rPr>
          <w:rFonts w:eastAsia="Times New Roman" w:cs="Calibri"/>
          <w:color w:val="000000"/>
          <w:sz w:val="24"/>
          <w:szCs w:val="24"/>
        </w:rPr>
        <w:t xml:space="preserve">students, </w:t>
      </w:r>
      <w:r>
        <w:rPr>
          <w:rFonts w:eastAsia="Times New Roman" w:cs="Calibri"/>
          <w:color w:val="000000"/>
          <w:sz w:val="24"/>
          <w:szCs w:val="24"/>
        </w:rPr>
        <w:t xml:space="preserve">and to be able to </w:t>
      </w:r>
      <w:r w:rsidRPr="00BA0728">
        <w:rPr>
          <w:rFonts w:eastAsia="Times New Roman" w:cs="Calibri"/>
          <w:color w:val="000000"/>
          <w:sz w:val="24"/>
          <w:szCs w:val="24"/>
        </w:rPr>
        <w:t xml:space="preserve">respond </w:t>
      </w:r>
      <w:r>
        <w:rPr>
          <w:rFonts w:eastAsia="Times New Roman" w:cs="Calibri"/>
          <w:color w:val="000000"/>
          <w:sz w:val="24"/>
          <w:szCs w:val="24"/>
        </w:rPr>
        <w:t xml:space="preserve">appropriately </w:t>
      </w:r>
      <w:r w:rsidRPr="00BA0728">
        <w:rPr>
          <w:rFonts w:eastAsia="Times New Roman" w:cs="Calibri"/>
          <w:color w:val="000000"/>
          <w:sz w:val="24"/>
          <w:szCs w:val="24"/>
        </w:rPr>
        <w:t xml:space="preserve">to the variety of situations that </w:t>
      </w:r>
      <w:r>
        <w:rPr>
          <w:rFonts w:eastAsia="Times New Roman" w:cs="Calibri"/>
          <w:color w:val="000000"/>
          <w:sz w:val="24"/>
          <w:szCs w:val="24"/>
        </w:rPr>
        <w:t xml:space="preserve">may </w:t>
      </w:r>
      <w:r w:rsidR="007E6BD5">
        <w:rPr>
          <w:rFonts w:eastAsia="Times New Roman" w:cs="Calibri"/>
          <w:color w:val="000000"/>
          <w:sz w:val="24"/>
          <w:szCs w:val="24"/>
        </w:rPr>
        <w:t>occur</w:t>
      </w:r>
      <w:r w:rsidRPr="00BA0728">
        <w:rPr>
          <w:rFonts w:eastAsia="Times New Roman" w:cs="Calibri"/>
          <w:color w:val="000000"/>
          <w:sz w:val="24"/>
          <w:szCs w:val="24"/>
        </w:rPr>
        <w:t>.</w:t>
      </w:r>
    </w:p>
    <w:p w14:paraId="5D1D01B8" w14:textId="77777777" w:rsidR="00FC3039" w:rsidRPr="00E46592" w:rsidRDefault="00FC3039" w:rsidP="00FC3039">
      <w:pPr>
        <w:rPr>
          <w:rFonts w:eastAsia="Times New Roman" w:cs="Calibri"/>
          <w:b/>
          <w:color w:val="000000"/>
          <w:sz w:val="24"/>
          <w:szCs w:val="24"/>
        </w:rPr>
      </w:pPr>
      <w:r w:rsidRPr="00E46592">
        <w:rPr>
          <w:rFonts w:eastAsia="Times New Roman" w:cs="Calibri"/>
          <w:b/>
          <w:color w:val="000000"/>
          <w:sz w:val="24"/>
          <w:szCs w:val="24"/>
        </w:rPr>
        <w:t>Facilitator instructions for session.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22"/>
        <w:gridCol w:w="3182"/>
        <w:gridCol w:w="1312"/>
      </w:tblGrid>
      <w:tr w:rsidR="00FC3039" w:rsidRPr="00732754" w14:paraId="43E36F60" w14:textId="77777777" w:rsidTr="00AC6EB6">
        <w:tc>
          <w:tcPr>
            <w:tcW w:w="4644" w:type="dxa"/>
          </w:tcPr>
          <w:p w14:paraId="3CD7CDE1" w14:textId="77777777" w:rsidR="00FC3039" w:rsidRPr="00732754" w:rsidRDefault="00FC3039" w:rsidP="00AC6EB6">
            <w:pPr>
              <w:spacing w:after="0" w:line="240" w:lineRule="auto"/>
              <w:rPr>
                <w:rFonts w:cs="Calibri"/>
                <w:b/>
                <w:sz w:val="24"/>
                <w:szCs w:val="24"/>
                <w:u w:val="single"/>
              </w:rPr>
            </w:pPr>
            <w:r w:rsidRPr="00732754">
              <w:rPr>
                <w:rFonts w:cs="Calibri"/>
                <w:b/>
                <w:sz w:val="24"/>
                <w:szCs w:val="24"/>
                <w:u w:val="single"/>
              </w:rPr>
              <w:t>Description</w:t>
            </w:r>
          </w:p>
        </w:tc>
        <w:tc>
          <w:tcPr>
            <w:tcW w:w="3261" w:type="dxa"/>
          </w:tcPr>
          <w:p w14:paraId="3E020901" w14:textId="77777777" w:rsidR="00FC3039" w:rsidRPr="00732754" w:rsidRDefault="00FC3039" w:rsidP="00AC6EB6">
            <w:pPr>
              <w:spacing w:after="0" w:line="240" w:lineRule="auto"/>
              <w:rPr>
                <w:rFonts w:cs="Calibri"/>
                <w:b/>
                <w:sz w:val="24"/>
                <w:szCs w:val="24"/>
                <w:u w:val="single"/>
              </w:rPr>
            </w:pPr>
            <w:r w:rsidRPr="00732754">
              <w:rPr>
                <w:rFonts w:cs="Calibri"/>
                <w:b/>
                <w:sz w:val="24"/>
                <w:szCs w:val="24"/>
                <w:u w:val="single"/>
              </w:rPr>
              <w:t>Resources</w:t>
            </w:r>
          </w:p>
        </w:tc>
        <w:tc>
          <w:tcPr>
            <w:tcW w:w="1337" w:type="dxa"/>
          </w:tcPr>
          <w:p w14:paraId="6F204427" w14:textId="77777777" w:rsidR="00FC3039" w:rsidRPr="00732754" w:rsidRDefault="00FC3039" w:rsidP="00AC6EB6">
            <w:pPr>
              <w:spacing w:after="0" w:line="240" w:lineRule="auto"/>
              <w:rPr>
                <w:rFonts w:cs="Calibri"/>
                <w:b/>
                <w:sz w:val="24"/>
                <w:szCs w:val="24"/>
                <w:u w:val="single"/>
              </w:rPr>
            </w:pPr>
            <w:r w:rsidRPr="00732754">
              <w:rPr>
                <w:rFonts w:cs="Calibri"/>
                <w:b/>
                <w:sz w:val="24"/>
                <w:szCs w:val="24"/>
                <w:u w:val="single"/>
              </w:rPr>
              <w:t xml:space="preserve">Time </w:t>
            </w:r>
          </w:p>
        </w:tc>
      </w:tr>
      <w:tr w:rsidR="00FC3039" w:rsidRPr="00732754" w14:paraId="11B998F6" w14:textId="77777777" w:rsidTr="00AC6EB6">
        <w:tc>
          <w:tcPr>
            <w:tcW w:w="4644" w:type="dxa"/>
          </w:tcPr>
          <w:p w14:paraId="07347C3D" w14:textId="77777777" w:rsidR="00FC3039" w:rsidRPr="00732754" w:rsidRDefault="00FC3039" w:rsidP="00AC6EB6">
            <w:pPr>
              <w:spacing w:after="0" w:line="240" w:lineRule="auto"/>
              <w:rPr>
                <w:rFonts w:cs="Calibri"/>
                <w:b/>
                <w:sz w:val="24"/>
                <w:szCs w:val="24"/>
                <w:u w:val="single"/>
              </w:rPr>
            </w:pPr>
            <w:r w:rsidRPr="00732754">
              <w:rPr>
                <w:rFonts w:cs="Calibri"/>
                <w:sz w:val="24"/>
                <w:szCs w:val="24"/>
              </w:rPr>
              <w:t xml:space="preserve">Session based on section 8 of “Tutoring in a mathematics support centre- a guide for postgraduate students” </w:t>
            </w:r>
            <w:r w:rsidRPr="00732754">
              <w:rPr>
                <w:rFonts w:cs="Calibri"/>
                <w:i/>
                <w:sz w:val="24"/>
                <w:szCs w:val="24"/>
              </w:rPr>
              <w:t xml:space="preserve">Individual differences and needs in mathematics support. </w:t>
            </w:r>
            <w:r w:rsidRPr="00732754">
              <w:rPr>
                <w:rFonts w:cs="Calibri"/>
                <w:sz w:val="24"/>
                <w:szCs w:val="24"/>
              </w:rPr>
              <w:t xml:space="preserve"> </w:t>
            </w:r>
          </w:p>
        </w:tc>
        <w:tc>
          <w:tcPr>
            <w:tcW w:w="3261" w:type="dxa"/>
          </w:tcPr>
          <w:p w14:paraId="038ED2C8" w14:textId="77777777" w:rsidR="00FC3039" w:rsidRPr="00732754" w:rsidRDefault="00FC3039" w:rsidP="00AC6EB6">
            <w:pPr>
              <w:spacing w:after="0" w:line="240" w:lineRule="auto"/>
              <w:rPr>
                <w:rFonts w:cs="Calibri"/>
                <w:sz w:val="24"/>
                <w:szCs w:val="24"/>
              </w:rPr>
            </w:pPr>
            <w:r w:rsidRPr="00732754">
              <w:rPr>
                <w:rFonts w:cs="Calibri"/>
                <w:sz w:val="24"/>
                <w:szCs w:val="24"/>
              </w:rPr>
              <w:t>Using the section 8 activities and associated appendix 2.</w:t>
            </w:r>
          </w:p>
          <w:p w14:paraId="1938F2FD" w14:textId="77777777" w:rsidR="00FC3039" w:rsidRPr="00732754" w:rsidRDefault="00FC3039" w:rsidP="00AC6EB6">
            <w:pPr>
              <w:spacing w:after="0" w:line="240" w:lineRule="auto"/>
              <w:rPr>
                <w:rFonts w:cs="Calibri"/>
                <w:b/>
                <w:sz w:val="24"/>
                <w:szCs w:val="24"/>
                <w:u w:val="single"/>
              </w:rPr>
            </w:pPr>
          </w:p>
        </w:tc>
        <w:tc>
          <w:tcPr>
            <w:tcW w:w="1337" w:type="dxa"/>
          </w:tcPr>
          <w:p w14:paraId="38CE8D75" w14:textId="77777777" w:rsidR="00FC3039" w:rsidRPr="00B266BD" w:rsidRDefault="00FC3039" w:rsidP="00AC6EB6">
            <w:pPr>
              <w:spacing w:after="0" w:line="240" w:lineRule="auto"/>
              <w:rPr>
                <w:rFonts w:cs="Calibri"/>
                <w:sz w:val="24"/>
                <w:szCs w:val="24"/>
              </w:rPr>
            </w:pPr>
          </w:p>
          <w:p w14:paraId="67158829" w14:textId="77777777" w:rsidR="00FC3039" w:rsidRPr="00B266BD" w:rsidRDefault="00FC3039" w:rsidP="00AC6EB6">
            <w:pPr>
              <w:spacing w:after="0" w:line="240" w:lineRule="auto"/>
              <w:rPr>
                <w:rFonts w:cs="Calibri"/>
                <w:sz w:val="24"/>
                <w:szCs w:val="24"/>
              </w:rPr>
            </w:pPr>
          </w:p>
          <w:p w14:paraId="401571C0" w14:textId="77777777" w:rsidR="00FC3039" w:rsidRPr="00B266BD" w:rsidRDefault="008F5C7D" w:rsidP="008F5C7D">
            <w:pPr>
              <w:spacing w:after="0" w:line="240" w:lineRule="auto"/>
              <w:rPr>
                <w:rFonts w:cs="Calibri"/>
                <w:sz w:val="24"/>
                <w:szCs w:val="24"/>
              </w:rPr>
            </w:pPr>
            <w:r>
              <w:rPr>
                <w:rFonts w:cs="Calibri"/>
                <w:sz w:val="24"/>
                <w:szCs w:val="24"/>
              </w:rPr>
              <w:t>30</w:t>
            </w:r>
            <w:r w:rsidR="00FC3039" w:rsidRPr="00B266BD">
              <w:rPr>
                <w:rFonts w:cs="Calibri"/>
                <w:sz w:val="24"/>
                <w:szCs w:val="24"/>
              </w:rPr>
              <w:t xml:space="preserve"> mins</w:t>
            </w:r>
          </w:p>
        </w:tc>
      </w:tr>
      <w:tr w:rsidR="00FC3039" w:rsidRPr="00732754" w14:paraId="2DF92750" w14:textId="77777777" w:rsidTr="00AC6EB6">
        <w:tc>
          <w:tcPr>
            <w:tcW w:w="4644" w:type="dxa"/>
          </w:tcPr>
          <w:p w14:paraId="182DD06A" w14:textId="77777777" w:rsidR="00FC3039" w:rsidRPr="00732754" w:rsidRDefault="00FC3039" w:rsidP="00AC6EB6">
            <w:pPr>
              <w:spacing w:after="0" w:line="240" w:lineRule="auto"/>
              <w:rPr>
                <w:rFonts w:cs="Calibri"/>
                <w:b/>
                <w:sz w:val="24"/>
                <w:szCs w:val="24"/>
                <w:u w:val="single"/>
              </w:rPr>
            </w:pPr>
            <w:r>
              <w:rPr>
                <w:rFonts w:cs="Calibri"/>
                <w:sz w:val="24"/>
                <w:szCs w:val="24"/>
              </w:rPr>
              <w:t xml:space="preserve">Session based on </w:t>
            </w:r>
            <w:r w:rsidRPr="00732754">
              <w:rPr>
                <w:rFonts w:cs="Calibri"/>
                <w:sz w:val="24"/>
                <w:szCs w:val="24"/>
              </w:rPr>
              <w:t>section 9 of “Tutoring in a mathematics support centre- a guide for postgraduate students”</w:t>
            </w:r>
            <w:r>
              <w:rPr>
                <w:rFonts w:cs="Calibri"/>
                <w:sz w:val="24"/>
                <w:szCs w:val="24"/>
              </w:rPr>
              <w:t xml:space="preserve"> </w:t>
            </w:r>
            <w:r w:rsidRPr="00732754">
              <w:rPr>
                <w:rFonts w:cs="Calibri"/>
                <w:i/>
                <w:sz w:val="24"/>
                <w:szCs w:val="24"/>
              </w:rPr>
              <w:t>Scenarios you might encounter</w:t>
            </w:r>
          </w:p>
        </w:tc>
        <w:tc>
          <w:tcPr>
            <w:tcW w:w="3261" w:type="dxa"/>
          </w:tcPr>
          <w:p w14:paraId="30A12B14" w14:textId="77777777" w:rsidR="00FC3039" w:rsidRPr="00732754" w:rsidRDefault="00FC3039" w:rsidP="00AC6EB6">
            <w:pPr>
              <w:spacing w:after="0" w:line="240" w:lineRule="auto"/>
              <w:rPr>
                <w:rFonts w:cs="Calibri"/>
                <w:b/>
                <w:sz w:val="24"/>
                <w:szCs w:val="24"/>
                <w:u w:val="single"/>
              </w:rPr>
            </w:pPr>
            <w:r w:rsidRPr="00732754">
              <w:rPr>
                <w:rFonts w:cs="Calibri"/>
                <w:sz w:val="24"/>
                <w:szCs w:val="24"/>
              </w:rPr>
              <w:t xml:space="preserve">Using the section 9 scenarios as </w:t>
            </w:r>
            <w:r>
              <w:rPr>
                <w:rFonts w:cs="Calibri"/>
                <w:sz w:val="24"/>
                <w:szCs w:val="24"/>
              </w:rPr>
              <w:t>described</w:t>
            </w:r>
            <w:r w:rsidRPr="00732754">
              <w:rPr>
                <w:rFonts w:cs="Calibri"/>
                <w:sz w:val="24"/>
                <w:szCs w:val="24"/>
              </w:rPr>
              <w:t xml:space="preserve"> in associated appendix 3</w:t>
            </w:r>
            <w:r>
              <w:rPr>
                <w:rFonts w:cs="Calibri"/>
                <w:sz w:val="24"/>
                <w:szCs w:val="24"/>
              </w:rPr>
              <w:t>.</w:t>
            </w:r>
          </w:p>
        </w:tc>
        <w:tc>
          <w:tcPr>
            <w:tcW w:w="1337" w:type="dxa"/>
          </w:tcPr>
          <w:p w14:paraId="31FE7D6D" w14:textId="77777777" w:rsidR="00FC3039" w:rsidRPr="00B266BD" w:rsidRDefault="00FC3039" w:rsidP="00AC6EB6">
            <w:pPr>
              <w:spacing w:after="0" w:line="240" w:lineRule="auto"/>
              <w:rPr>
                <w:rFonts w:cs="Calibri"/>
                <w:sz w:val="24"/>
                <w:szCs w:val="24"/>
              </w:rPr>
            </w:pPr>
          </w:p>
          <w:p w14:paraId="0B1E8C4D" w14:textId="77777777" w:rsidR="00FC3039" w:rsidRPr="00732754" w:rsidRDefault="008F5C7D" w:rsidP="00AC6EB6">
            <w:pPr>
              <w:spacing w:after="0" w:line="240" w:lineRule="auto"/>
              <w:rPr>
                <w:rFonts w:cs="Calibri"/>
                <w:b/>
                <w:sz w:val="24"/>
                <w:szCs w:val="24"/>
                <w:u w:val="single"/>
              </w:rPr>
            </w:pPr>
            <w:r>
              <w:rPr>
                <w:rFonts w:cs="Calibri"/>
                <w:sz w:val="24"/>
                <w:szCs w:val="24"/>
              </w:rPr>
              <w:t>30</w:t>
            </w:r>
            <w:r w:rsidR="00FC3039" w:rsidRPr="00B266BD">
              <w:rPr>
                <w:rFonts w:cs="Calibri"/>
                <w:sz w:val="24"/>
                <w:szCs w:val="24"/>
              </w:rPr>
              <w:t xml:space="preserve"> mins</w:t>
            </w:r>
          </w:p>
        </w:tc>
      </w:tr>
    </w:tbl>
    <w:p w14:paraId="4A65EA86" w14:textId="77777777" w:rsidR="00FC3039" w:rsidRPr="00E46592" w:rsidRDefault="00FC3039" w:rsidP="00FC3039">
      <w:pPr>
        <w:rPr>
          <w:rFonts w:cs="Calibri"/>
          <w:b/>
          <w:sz w:val="24"/>
          <w:szCs w:val="24"/>
          <w:u w:val="single"/>
        </w:rPr>
      </w:pPr>
    </w:p>
    <w:p w14:paraId="42E2F4F1" w14:textId="77777777" w:rsidR="00FC3039" w:rsidRPr="00E46592" w:rsidRDefault="00FC3039" w:rsidP="00FC3039">
      <w:pPr>
        <w:rPr>
          <w:rFonts w:eastAsia="Times New Roman" w:cs="Calibri"/>
          <w:b/>
          <w:color w:val="000000"/>
          <w:sz w:val="24"/>
          <w:szCs w:val="24"/>
        </w:rPr>
      </w:pPr>
      <w:r w:rsidRPr="00E46592">
        <w:rPr>
          <w:rFonts w:eastAsia="Times New Roman" w:cs="Calibri"/>
          <w:b/>
          <w:color w:val="000000"/>
          <w:sz w:val="24"/>
          <w:szCs w:val="24"/>
        </w:rPr>
        <w:t>Resources list for session:</w:t>
      </w:r>
    </w:p>
    <w:p w14:paraId="17DB885C" w14:textId="77777777" w:rsidR="00FC3039" w:rsidRPr="00E46592" w:rsidRDefault="00FC3039" w:rsidP="00FC3039">
      <w:pPr>
        <w:rPr>
          <w:rFonts w:eastAsia="Times New Roman" w:cs="Calibri"/>
          <w:color w:val="000000"/>
          <w:sz w:val="24"/>
          <w:szCs w:val="24"/>
        </w:rPr>
      </w:pPr>
      <w:r>
        <w:rPr>
          <w:rFonts w:eastAsia="Times New Roman" w:cs="Calibri"/>
          <w:color w:val="000000"/>
          <w:sz w:val="24"/>
          <w:szCs w:val="24"/>
        </w:rPr>
        <w:t>S</w:t>
      </w:r>
      <w:r w:rsidRPr="00E46592">
        <w:rPr>
          <w:rFonts w:cs="Calibri"/>
          <w:sz w:val="24"/>
          <w:szCs w:val="24"/>
        </w:rPr>
        <w:t>ection</w:t>
      </w:r>
      <w:r>
        <w:rPr>
          <w:rFonts w:cs="Calibri"/>
          <w:sz w:val="24"/>
          <w:szCs w:val="24"/>
        </w:rPr>
        <w:t>s</w:t>
      </w:r>
      <w:r w:rsidRPr="00E46592">
        <w:rPr>
          <w:rFonts w:cs="Calibri"/>
          <w:sz w:val="24"/>
          <w:szCs w:val="24"/>
        </w:rPr>
        <w:t xml:space="preserve"> 8</w:t>
      </w:r>
      <w:r>
        <w:rPr>
          <w:rFonts w:cs="Calibri"/>
          <w:sz w:val="24"/>
          <w:szCs w:val="24"/>
        </w:rPr>
        <w:t xml:space="preserve"> &amp; 9, and </w:t>
      </w:r>
      <w:r w:rsidRPr="00E46592">
        <w:rPr>
          <w:rFonts w:cs="Calibri"/>
          <w:sz w:val="24"/>
          <w:szCs w:val="24"/>
        </w:rPr>
        <w:t>associated appendi</w:t>
      </w:r>
      <w:r>
        <w:rPr>
          <w:rFonts w:cs="Calibri"/>
          <w:sz w:val="24"/>
          <w:szCs w:val="24"/>
        </w:rPr>
        <w:t>ces</w:t>
      </w:r>
      <w:r w:rsidRPr="00E46592">
        <w:rPr>
          <w:rFonts w:cs="Calibri"/>
          <w:sz w:val="24"/>
          <w:szCs w:val="24"/>
        </w:rPr>
        <w:t xml:space="preserve"> 2</w:t>
      </w:r>
      <w:r>
        <w:rPr>
          <w:rFonts w:cs="Calibri"/>
          <w:sz w:val="24"/>
          <w:szCs w:val="24"/>
        </w:rPr>
        <w:t xml:space="preserve"> &amp; 3 of the </w:t>
      </w:r>
      <w:r>
        <w:rPr>
          <w:rFonts w:cs="Calibri"/>
          <w:b/>
          <w:sz w:val="24"/>
          <w:szCs w:val="24"/>
        </w:rPr>
        <w:t>sigma</w:t>
      </w:r>
      <w:r>
        <w:rPr>
          <w:rFonts w:cs="Calibri"/>
          <w:sz w:val="24"/>
          <w:szCs w:val="24"/>
        </w:rPr>
        <w:t xml:space="preserve"> report </w:t>
      </w:r>
      <w:r w:rsidRPr="00732754">
        <w:rPr>
          <w:rFonts w:cs="Calibri"/>
          <w:sz w:val="24"/>
          <w:szCs w:val="24"/>
        </w:rPr>
        <w:t>“Tutoring in a mathematics support centre- a guide for postgraduate students”</w:t>
      </w:r>
      <w:r>
        <w:rPr>
          <w:rFonts w:cs="Calibri"/>
          <w:sz w:val="24"/>
          <w:szCs w:val="24"/>
        </w:rPr>
        <w:t xml:space="preserve"> </w:t>
      </w:r>
      <w:hyperlink r:id="rId7" w:history="1">
        <w:r>
          <w:rPr>
            <w:rStyle w:val="Hyperlink"/>
          </w:rPr>
          <w:t>http://www.mathcentre.ac.uk/resources/uploaded/46836-tutoring-in-msc-web.pdf</w:t>
        </w:r>
      </w:hyperlink>
    </w:p>
    <w:p w14:paraId="5C0AFDD9" w14:textId="77777777" w:rsidR="00FC3039" w:rsidRDefault="00FC3039">
      <w:pPr>
        <w:rPr>
          <w:rFonts w:eastAsia="Times New Roman" w:cstheme="minorHAnsi"/>
          <w:b/>
          <w:color w:val="000000"/>
          <w:sz w:val="24"/>
          <w:szCs w:val="24"/>
        </w:rPr>
      </w:pPr>
    </w:p>
    <w:sectPr w:rsidR="00FC3039" w:rsidSect="00AD52F0">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51DD618A"/>
    <w:multiLevelType w:val="hybridMultilevel"/>
    <w:tmpl w:val="7EAAA464"/>
    <w:lvl w:ilvl="0" w:tplc="1809000F">
      <w:start w:val="1"/>
      <w:numFmt w:val="decimal"/>
      <w:lvlText w:val="%1."/>
      <w:lvlJc w:val="left"/>
      <w:pPr>
        <w:ind w:left="720" w:hanging="360"/>
      </w:pPr>
    </w:lvl>
    <w:lvl w:ilvl="1" w:tplc="18090019" w:tentative="1">
      <w:start w:val="1"/>
      <w:numFmt w:val="lowerLetter"/>
      <w:lvlText w:val="%2."/>
      <w:lvlJc w:val="left"/>
      <w:pPr>
        <w:ind w:left="1440" w:hanging="360"/>
      </w:pPr>
    </w:lvl>
    <w:lvl w:ilvl="2" w:tplc="1809001B" w:tentative="1">
      <w:start w:val="1"/>
      <w:numFmt w:val="lowerRoman"/>
      <w:lvlText w:val="%3."/>
      <w:lvlJc w:val="right"/>
      <w:pPr>
        <w:ind w:left="2160" w:hanging="180"/>
      </w:pPr>
    </w:lvl>
    <w:lvl w:ilvl="3" w:tplc="1809000F" w:tentative="1">
      <w:start w:val="1"/>
      <w:numFmt w:val="decimal"/>
      <w:lvlText w:val="%4."/>
      <w:lvlJc w:val="left"/>
      <w:pPr>
        <w:ind w:left="2880" w:hanging="360"/>
      </w:pPr>
    </w:lvl>
    <w:lvl w:ilvl="4" w:tplc="18090019" w:tentative="1">
      <w:start w:val="1"/>
      <w:numFmt w:val="lowerLetter"/>
      <w:lvlText w:val="%5."/>
      <w:lvlJc w:val="left"/>
      <w:pPr>
        <w:ind w:left="3600" w:hanging="360"/>
      </w:pPr>
    </w:lvl>
    <w:lvl w:ilvl="5" w:tplc="1809001B" w:tentative="1">
      <w:start w:val="1"/>
      <w:numFmt w:val="lowerRoman"/>
      <w:lvlText w:val="%6."/>
      <w:lvlJc w:val="right"/>
      <w:pPr>
        <w:ind w:left="4320" w:hanging="180"/>
      </w:pPr>
    </w:lvl>
    <w:lvl w:ilvl="6" w:tplc="1809000F" w:tentative="1">
      <w:start w:val="1"/>
      <w:numFmt w:val="decimal"/>
      <w:lvlText w:val="%7."/>
      <w:lvlJc w:val="left"/>
      <w:pPr>
        <w:ind w:left="5040" w:hanging="360"/>
      </w:pPr>
    </w:lvl>
    <w:lvl w:ilvl="7" w:tplc="18090019" w:tentative="1">
      <w:start w:val="1"/>
      <w:numFmt w:val="lowerLetter"/>
      <w:lvlText w:val="%8."/>
      <w:lvlJc w:val="left"/>
      <w:pPr>
        <w:ind w:left="5760" w:hanging="360"/>
      </w:pPr>
    </w:lvl>
    <w:lvl w:ilvl="8" w:tplc="1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E428B"/>
    <w:rsid w:val="000213CF"/>
    <w:rsid w:val="00040244"/>
    <w:rsid w:val="00083C10"/>
    <w:rsid w:val="00094364"/>
    <w:rsid w:val="000D5F46"/>
    <w:rsid w:val="00115F58"/>
    <w:rsid w:val="00125BBE"/>
    <w:rsid w:val="001C227E"/>
    <w:rsid w:val="00213B0B"/>
    <w:rsid w:val="00326B27"/>
    <w:rsid w:val="00343AEA"/>
    <w:rsid w:val="00392B14"/>
    <w:rsid w:val="003E1072"/>
    <w:rsid w:val="003E7221"/>
    <w:rsid w:val="00495D0C"/>
    <w:rsid w:val="004A30A4"/>
    <w:rsid w:val="00524AB1"/>
    <w:rsid w:val="00543B86"/>
    <w:rsid w:val="00545550"/>
    <w:rsid w:val="00594A7C"/>
    <w:rsid w:val="0067451F"/>
    <w:rsid w:val="0071148C"/>
    <w:rsid w:val="007177D3"/>
    <w:rsid w:val="007935F7"/>
    <w:rsid w:val="00795742"/>
    <w:rsid w:val="007B174E"/>
    <w:rsid w:val="007E6BD5"/>
    <w:rsid w:val="008166F8"/>
    <w:rsid w:val="008559A8"/>
    <w:rsid w:val="00862CD7"/>
    <w:rsid w:val="008A2ECA"/>
    <w:rsid w:val="008A4F57"/>
    <w:rsid w:val="008F5C7D"/>
    <w:rsid w:val="009068B9"/>
    <w:rsid w:val="0097740D"/>
    <w:rsid w:val="00997588"/>
    <w:rsid w:val="00A27C01"/>
    <w:rsid w:val="00A426FC"/>
    <w:rsid w:val="00A5006E"/>
    <w:rsid w:val="00A551B3"/>
    <w:rsid w:val="00A6095B"/>
    <w:rsid w:val="00A82B23"/>
    <w:rsid w:val="00AD52F0"/>
    <w:rsid w:val="00B95204"/>
    <w:rsid w:val="00BB4D62"/>
    <w:rsid w:val="00C15F8A"/>
    <w:rsid w:val="00C42B09"/>
    <w:rsid w:val="00D4376B"/>
    <w:rsid w:val="00D67AD3"/>
    <w:rsid w:val="00DA71D3"/>
    <w:rsid w:val="00E41962"/>
    <w:rsid w:val="00E46592"/>
    <w:rsid w:val="00E91A3C"/>
    <w:rsid w:val="00F61F6F"/>
    <w:rsid w:val="00FB79E9"/>
    <w:rsid w:val="00FC3039"/>
    <w:rsid w:val="00FC4875"/>
    <w:rsid w:val="00FE428B"/>
  </w:rsids>
  <m:mathPr>
    <m:mathFont m:val="Cambria Math"/>
    <m:brkBin m:val="before"/>
    <m:brkBinSub m:val="--"/>
    <m:smallFrac/>
    <m:dispDef/>
    <m:lMargin m:val="0"/>
    <m:rMargin m:val="0"/>
    <m:defJc m:val="centerGroup"/>
    <m:wrapIndent m:val="1440"/>
    <m:intLim m:val="subSup"/>
    <m:naryLim m:val="undOvr"/>
  </m:mathPr>
  <w:themeFontLang w:val="en-I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A3A34A"/>
  <w15:docId w15:val="{898135A7-3A88-4085-9ECD-05959AA3AA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I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495D0C"/>
    <w:pPr>
      <w:ind w:left="720"/>
      <w:contextualSpacing/>
    </w:pPr>
  </w:style>
  <w:style w:type="character" w:styleId="Hyperlink">
    <w:name w:val="Hyperlink"/>
    <w:basedOn w:val="DefaultParagraphFont"/>
    <w:uiPriority w:val="99"/>
    <w:semiHidden/>
    <w:unhideWhenUsed/>
    <w:rsid w:val="00495D0C"/>
    <w:rPr>
      <w:color w:val="1122CC"/>
      <w:u w:val="single"/>
    </w:rPr>
  </w:style>
  <w:style w:type="character" w:styleId="Emphasis">
    <w:name w:val="Emphasis"/>
    <w:basedOn w:val="DefaultParagraphFont"/>
    <w:uiPriority w:val="20"/>
    <w:qFormat/>
    <w:rsid w:val="00495D0C"/>
    <w:rPr>
      <w:b/>
      <w:bCs/>
      <w:i w:val="0"/>
      <w:iCs w:val="0"/>
    </w:rPr>
  </w:style>
  <w:style w:type="character" w:styleId="FollowedHyperlink">
    <w:name w:val="FollowedHyperlink"/>
    <w:basedOn w:val="DefaultParagraphFont"/>
    <w:uiPriority w:val="99"/>
    <w:semiHidden/>
    <w:unhideWhenUsed/>
    <w:rsid w:val="00495D0C"/>
    <w:rPr>
      <w:color w:val="800080" w:themeColor="followedHyperlink"/>
      <w:u w:val="single"/>
    </w:rPr>
  </w:style>
  <w:style w:type="table" w:styleId="TableGrid">
    <w:name w:val="Table Grid"/>
    <w:basedOn w:val="TableNormal"/>
    <w:uiPriority w:val="59"/>
    <w:rsid w:val="00F61F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F61F6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61F6F"/>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88647457">
      <w:bodyDiv w:val="1"/>
      <w:marLeft w:val="0"/>
      <w:marRight w:val="0"/>
      <w:marTop w:val="0"/>
      <w:marBottom w:val="0"/>
      <w:divBdr>
        <w:top w:val="none" w:sz="0" w:space="0" w:color="auto"/>
        <w:left w:val="none" w:sz="0" w:space="0" w:color="auto"/>
        <w:bottom w:val="none" w:sz="0" w:space="0" w:color="auto"/>
        <w:right w:val="none" w:sz="0" w:space="0" w:color="auto"/>
      </w:divBdr>
    </w:div>
    <w:div w:id="1427457342">
      <w:bodyDiv w:val="1"/>
      <w:marLeft w:val="0"/>
      <w:marRight w:val="0"/>
      <w:marTop w:val="0"/>
      <w:marBottom w:val="0"/>
      <w:divBdr>
        <w:top w:val="none" w:sz="0" w:space="0" w:color="auto"/>
        <w:left w:val="none" w:sz="0" w:space="0" w:color="auto"/>
        <w:bottom w:val="none" w:sz="0" w:space="0" w:color="auto"/>
        <w:right w:val="none" w:sz="0" w:space="0" w:color="auto"/>
      </w:divBdr>
      <w:divsChild>
        <w:div w:id="893850104">
          <w:marLeft w:val="0"/>
          <w:marRight w:val="0"/>
          <w:marTop w:val="0"/>
          <w:marBottom w:val="0"/>
          <w:divBdr>
            <w:top w:val="none" w:sz="0" w:space="0" w:color="auto"/>
            <w:left w:val="none" w:sz="0" w:space="0" w:color="auto"/>
            <w:bottom w:val="none" w:sz="0" w:space="0" w:color="auto"/>
            <w:right w:val="none" w:sz="0" w:space="0" w:color="auto"/>
          </w:divBdr>
          <w:divsChild>
            <w:div w:id="637757799">
              <w:marLeft w:val="0"/>
              <w:marRight w:val="0"/>
              <w:marTop w:val="0"/>
              <w:marBottom w:val="0"/>
              <w:divBdr>
                <w:top w:val="none" w:sz="0" w:space="0" w:color="auto"/>
                <w:left w:val="none" w:sz="0" w:space="0" w:color="auto"/>
                <w:bottom w:val="none" w:sz="0" w:space="0" w:color="auto"/>
                <w:right w:val="none" w:sz="0" w:space="0" w:color="auto"/>
              </w:divBdr>
              <w:divsChild>
                <w:div w:id="1004164783">
                  <w:marLeft w:val="0"/>
                  <w:marRight w:val="0"/>
                  <w:marTop w:val="0"/>
                  <w:marBottom w:val="0"/>
                  <w:divBdr>
                    <w:top w:val="none" w:sz="0" w:space="0" w:color="auto"/>
                    <w:left w:val="none" w:sz="0" w:space="0" w:color="auto"/>
                    <w:bottom w:val="none" w:sz="0" w:space="0" w:color="auto"/>
                    <w:right w:val="none" w:sz="0" w:space="0" w:color="auto"/>
                  </w:divBdr>
                  <w:divsChild>
                    <w:div w:id="962736139">
                      <w:marLeft w:val="0"/>
                      <w:marRight w:val="0"/>
                      <w:marTop w:val="0"/>
                      <w:marBottom w:val="0"/>
                      <w:divBdr>
                        <w:top w:val="none" w:sz="0" w:space="0" w:color="auto"/>
                        <w:left w:val="none" w:sz="0" w:space="0" w:color="auto"/>
                        <w:bottom w:val="none" w:sz="0" w:space="0" w:color="auto"/>
                        <w:right w:val="none" w:sz="0" w:space="0" w:color="auto"/>
                      </w:divBdr>
                      <w:divsChild>
                        <w:div w:id="1624382731">
                          <w:marLeft w:val="0"/>
                          <w:marRight w:val="0"/>
                          <w:marTop w:val="45"/>
                          <w:marBottom w:val="0"/>
                          <w:divBdr>
                            <w:top w:val="none" w:sz="0" w:space="0" w:color="auto"/>
                            <w:left w:val="none" w:sz="0" w:space="0" w:color="auto"/>
                            <w:bottom w:val="none" w:sz="0" w:space="0" w:color="auto"/>
                            <w:right w:val="none" w:sz="0" w:space="0" w:color="auto"/>
                          </w:divBdr>
                          <w:divsChild>
                            <w:div w:id="1972973454">
                              <w:marLeft w:val="1800"/>
                              <w:marRight w:val="3810"/>
                              <w:marTop w:val="0"/>
                              <w:marBottom w:val="0"/>
                              <w:divBdr>
                                <w:top w:val="none" w:sz="0" w:space="0" w:color="auto"/>
                                <w:left w:val="none" w:sz="0" w:space="0" w:color="auto"/>
                                <w:bottom w:val="none" w:sz="0" w:space="0" w:color="auto"/>
                                <w:right w:val="none" w:sz="0" w:space="0" w:color="auto"/>
                              </w:divBdr>
                              <w:divsChild>
                                <w:div w:id="1025789156">
                                  <w:marLeft w:val="0"/>
                                  <w:marRight w:val="0"/>
                                  <w:marTop w:val="0"/>
                                  <w:marBottom w:val="0"/>
                                  <w:divBdr>
                                    <w:top w:val="none" w:sz="0" w:space="0" w:color="auto"/>
                                    <w:left w:val="none" w:sz="0" w:space="0" w:color="auto"/>
                                    <w:bottom w:val="none" w:sz="0" w:space="0" w:color="auto"/>
                                    <w:right w:val="none" w:sz="0" w:space="0" w:color="auto"/>
                                  </w:divBdr>
                                  <w:divsChild>
                                    <w:div w:id="750276432">
                                      <w:marLeft w:val="0"/>
                                      <w:marRight w:val="0"/>
                                      <w:marTop w:val="0"/>
                                      <w:marBottom w:val="0"/>
                                      <w:divBdr>
                                        <w:top w:val="none" w:sz="0" w:space="0" w:color="auto"/>
                                        <w:left w:val="none" w:sz="0" w:space="0" w:color="auto"/>
                                        <w:bottom w:val="none" w:sz="0" w:space="0" w:color="auto"/>
                                        <w:right w:val="none" w:sz="0" w:space="0" w:color="auto"/>
                                      </w:divBdr>
                                      <w:divsChild>
                                        <w:div w:id="1769232535">
                                          <w:marLeft w:val="0"/>
                                          <w:marRight w:val="0"/>
                                          <w:marTop w:val="0"/>
                                          <w:marBottom w:val="0"/>
                                          <w:divBdr>
                                            <w:top w:val="none" w:sz="0" w:space="0" w:color="auto"/>
                                            <w:left w:val="none" w:sz="0" w:space="0" w:color="auto"/>
                                            <w:bottom w:val="none" w:sz="0" w:space="0" w:color="auto"/>
                                            <w:right w:val="none" w:sz="0" w:space="0" w:color="auto"/>
                                          </w:divBdr>
                                          <w:divsChild>
                                            <w:div w:id="1340161298">
                                              <w:marLeft w:val="0"/>
                                              <w:marRight w:val="0"/>
                                              <w:marTop w:val="0"/>
                                              <w:marBottom w:val="0"/>
                                              <w:divBdr>
                                                <w:top w:val="none" w:sz="0" w:space="0" w:color="auto"/>
                                                <w:left w:val="none" w:sz="0" w:space="0" w:color="auto"/>
                                                <w:bottom w:val="none" w:sz="0" w:space="0" w:color="auto"/>
                                                <w:right w:val="none" w:sz="0" w:space="0" w:color="auto"/>
                                              </w:divBdr>
                                              <w:divsChild>
                                                <w:div w:id="1739284282">
                                                  <w:marLeft w:val="0"/>
                                                  <w:marRight w:val="0"/>
                                                  <w:marTop w:val="0"/>
                                                  <w:marBottom w:val="0"/>
                                                  <w:divBdr>
                                                    <w:top w:val="none" w:sz="0" w:space="0" w:color="auto"/>
                                                    <w:left w:val="none" w:sz="0" w:space="0" w:color="auto"/>
                                                    <w:bottom w:val="none" w:sz="0" w:space="0" w:color="auto"/>
                                                    <w:right w:val="none" w:sz="0" w:space="0" w:color="auto"/>
                                                  </w:divBdr>
                                                  <w:divsChild>
                                                    <w:div w:id="2025815515">
                                                      <w:marLeft w:val="0"/>
                                                      <w:marRight w:val="0"/>
                                                      <w:marTop w:val="0"/>
                                                      <w:marBottom w:val="0"/>
                                                      <w:divBdr>
                                                        <w:top w:val="none" w:sz="0" w:space="0" w:color="auto"/>
                                                        <w:left w:val="none" w:sz="0" w:space="0" w:color="auto"/>
                                                        <w:bottom w:val="none" w:sz="0" w:space="0" w:color="auto"/>
                                                        <w:right w:val="none" w:sz="0" w:space="0" w:color="auto"/>
                                                      </w:divBdr>
                                                      <w:divsChild>
                                                        <w:div w:id="15865015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mathcentre.ac.uk/resources/uploaded/46836-tutoring-in-msc-web.pdf"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0.jpeg"/><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258</Words>
  <Characters>1476</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Institute of Technology Tallaght</Company>
  <LinksUpToDate>false</LinksUpToDate>
  <CharactersWithSpaces>1731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Grainne</dc:creator>
  <cp:lastModifiedBy>Family O'Sullivan</cp:lastModifiedBy>
  <cp:revision>3</cp:revision>
  <dcterms:created xsi:type="dcterms:W3CDTF">2020-06-19T13:49:00Z</dcterms:created>
  <dcterms:modified xsi:type="dcterms:W3CDTF">2020-07-17T15:19:00Z</dcterms:modified>
</cp:coreProperties>
</file>